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Процедура закупівлі: </w:t>
      </w:r>
      <w:r>
        <w:rPr>
          <w:sz w:val="23"/>
          <w:szCs w:val="23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3"/>
          <w:szCs w:val="23"/>
          <w:lang w:val="uk-UA" w:eastAsia="ar-SA" w:bidi="ar-SA"/>
        </w:rPr>
        <w:t>з особливостями</w:t>
      </w:r>
      <w:r>
        <w:rPr>
          <w:sz w:val="23"/>
          <w:szCs w:val="23"/>
        </w:rPr>
        <w:t>.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Назва закупівлі: </w:t>
      </w:r>
      <w:r>
        <w:rPr>
          <w:rFonts w:eastAsia="Calibri" w:cs="Times New Roman"/>
          <w:b w:val="false"/>
          <w:bCs w:val="false"/>
          <w:color w:val="auto"/>
          <w:kern w:val="0"/>
          <w:sz w:val="23"/>
          <w:szCs w:val="23"/>
          <w:lang w:val="uk-UA" w:eastAsia="en-US" w:bidi="ar-SA"/>
        </w:rPr>
        <w:t xml:space="preserve">ДК 021:2015 50230000-6 Послуги з ремонту, технічного обслуговування дорожньої інфраструктури і пов’язаного обладнання та супутні послуги (Послуги з технічного обслуговування систем освітлення вулиць і громадських місць та світлофорів)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Ідентифікатор закупівлі: </w:t>
      </w:r>
      <w:r>
        <w:rPr>
          <w:sz w:val="23"/>
          <w:szCs w:val="23"/>
          <w:lang w:val="en-US"/>
        </w:rPr>
        <w:t>UA-2023-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ar-SA" w:bidi="ar-SA"/>
        </w:rPr>
        <w:t>12</w:t>
      </w:r>
      <w:r>
        <w:rPr>
          <w:sz w:val="23"/>
          <w:szCs w:val="23"/>
          <w:lang w:val="en-US"/>
        </w:rPr>
        <w:t>-1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ar-SA" w:bidi="ar-SA"/>
        </w:rPr>
        <w:t>3</w:t>
      </w:r>
      <w:r>
        <w:rPr>
          <w:sz w:val="23"/>
          <w:szCs w:val="23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ar-SA" w:bidi="ar-SA"/>
        </w:rPr>
        <w:t>18510</w:t>
      </w:r>
      <w:r>
        <w:rPr>
          <w:sz w:val="23"/>
          <w:szCs w:val="23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3"/>
          <w:szCs w:val="23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3"/>
          <w:szCs w:val="23"/>
          <w:shd w:fill="FFFFFF" w:val="clear"/>
          <w:lang w:val="en-US" w:eastAsia="ru-RU" w:bidi="ar-SA"/>
        </w:rPr>
        <w:t xml:space="preserve">2 700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3"/>
          <w:szCs w:val="23"/>
          <w:shd w:fill="FFFFFF" w:val="clear"/>
          <w:lang w:val="uk-UA" w:eastAsia="ru-RU" w:bidi="ar-SA"/>
        </w:rPr>
        <w:t xml:space="preserve"> 000 </w:t>
      </w:r>
      <w:r>
        <w:rPr>
          <w:rStyle w:val="Style15"/>
          <w:rFonts w:cs="Times New Roman"/>
          <w:b w:val="false"/>
          <w:bCs w:val="false"/>
          <w:iCs/>
          <w:color w:val="000000"/>
          <w:sz w:val="23"/>
          <w:szCs w:val="23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3"/>
          <w:szCs w:val="23"/>
          <w:shd w:fill="FFFFFF" w:val="clear"/>
          <w:lang w:val="uk-UA" w:eastAsia="ru-RU"/>
        </w:rPr>
        <w:t>грн</w:t>
      </w:r>
      <w:r>
        <w:rPr>
          <w:b w:val="false"/>
          <w:bCs w:val="false"/>
          <w:sz w:val="23"/>
          <w:szCs w:val="23"/>
        </w:rPr>
        <w:t>.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Обгрунтування розміру бюджетного призначення: </w:t>
      </w:r>
      <w:r>
        <w:rPr>
          <w:sz w:val="23"/>
          <w:szCs w:val="23"/>
        </w:rPr>
        <w:t>розмір бюджетного призначення визначений відповідно до бюджет</w:t>
      </w:r>
      <w:r>
        <w:rPr>
          <w:sz w:val="23"/>
          <w:szCs w:val="23"/>
          <w:lang w:val="uk-UA"/>
        </w:rPr>
        <w:t>у</w:t>
      </w:r>
      <w:r>
        <w:rPr>
          <w:sz w:val="23"/>
          <w:szCs w:val="23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ar-SA" w:bidi="ar-SA"/>
        </w:rPr>
        <w:t>4</w:t>
      </w:r>
      <w:r>
        <w:rPr>
          <w:sz w:val="23"/>
          <w:szCs w:val="23"/>
        </w:rPr>
        <w:t xml:space="preserve"> рік;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sz w:val="23"/>
          <w:szCs w:val="23"/>
        </w:rPr>
        <w:t>Обгрунтування  технічних та якісних характеристик предмета закупівлі:</w:t>
      </w:r>
    </w:p>
    <w:p>
      <w:pPr>
        <w:pStyle w:val="Normal"/>
        <w:tabs>
          <w:tab w:val="clear" w:pos="709"/>
          <w:tab w:val="left" w:pos="2460" w:leader="none"/>
        </w:tabs>
        <w:jc w:val="left"/>
        <w:rPr>
          <w:b w:val="false"/>
          <w:b w:val="false"/>
          <w:bCs w:val="false"/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single"/>
        </w:rPr>
        <w:t>Технічне обслуговування систем освітлення вулиць і громадських місць:</w:t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none"/>
        </w:rPr>
        <w:tab/>
        <w:t>Системи зовнішнього освітлення міста складають:</w:t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none"/>
        </w:rPr>
        <w:tab/>
        <w:t>- 63</w:t>
      </w:r>
      <w:r>
        <w:rPr>
          <w:rFonts w:eastAsia="Times New Roman"/>
          <w:b w:val="false"/>
          <w:bCs w:val="false"/>
          <w:sz w:val="23"/>
          <w:szCs w:val="23"/>
          <w:u w:val="none"/>
          <w:lang w:eastAsia="ar-SA"/>
        </w:rPr>
        <w:t>8</w:t>
      </w:r>
      <w:r>
        <w:rPr>
          <w:rFonts w:eastAsia="Times New Roman"/>
          <w:b w:val="false"/>
          <w:bCs w:val="false"/>
          <w:sz w:val="23"/>
          <w:szCs w:val="23"/>
          <w:u w:val="none"/>
        </w:rPr>
        <w:t>6</w:t>
      </w:r>
      <w:r>
        <w:rPr>
          <w:rFonts w:eastAsia="Times New Roman"/>
          <w:b w:val="false"/>
          <w:bCs w:val="false"/>
          <w:color w:val="FF6600"/>
          <w:sz w:val="23"/>
          <w:szCs w:val="23"/>
          <w:u w:val="none"/>
          <w:lang w:val="ru-RU"/>
        </w:rPr>
        <w:t xml:space="preserve"> </w:t>
      </w:r>
      <w:r>
        <w:rPr>
          <w:rFonts w:eastAsia="Times New Roman"/>
          <w:b w:val="false"/>
          <w:bCs w:val="false"/>
          <w:sz w:val="23"/>
          <w:szCs w:val="23"/>
          <w:u w:val="none"/>
        </w:rPr>
        <w:t xml:space="preserve">світлоточок, з них 1541 </w:t>
      </w:r>
      <w:r>
        <w:rPr>
          <w:rFonts w:eastAsia="Times New Roman"/>
          <w:b w:val="false"/>
          <w:bCs w:val="false"/>
          <w:sz w:val="23"/>
          <w:szCs w:val="23"/>
          <w:u w:val="none"/>
          <w:lang w:val="en-US"/>
        </w:rPr>
        <w:t xml:space="preserve">LED </w:t>
      </w:r>
      <w:r>
        <w:rPr>
          <w:rFonts w:eastAsia="Times New Roman"/>
          <w:b w:val="false"/>
          <w:bCs w:val="false"/>
          <w:sz w:val="23"/>
          <w:szCs w:val="23"/>
          <w:u w:val="none"/>
        </w:rPr>
        <w:t>світильник</w:t>
      </w:r>
      <w:r>
        <w:rPr>
          <w:rFonts w:eastAsia="Times New Roman"/>
          <w:b w:val="false"/>
          <w:bCs w:val="false"/>
          <w:sz w:val="23"/>
          <w:szCs w:val="23"/>
          <w:u w:val="none"/>
          <w:lang w:val="en-US"/>
        </w:rPr>
        <w:t>,</w:t>
      </w:r>
      <w:r>
        <w:rPr>
          <w:rFonts w:eastAsia="Times New Roman"/>
          <w:b w:val="false"/>
          <w:bCs w:val="false"/>
          <w:sz w:val="23"/>
          <w:szCs w:val="23"/>
          <w:u w:val="none"/>
        </w:rPr>
        <w:t xml:space="preserve"> які мають гарантійний термін експлуатації — 60 місяців від дати продажу (до грудня 2024 року). Кількість світлоточок протягом року може збільшуватися в разі встановлення нових;</w:t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none"/>
        </w:rPr>
        <w:tab/>
        <w:t>- 260, 1 км — довжина мереж зовнішнього освітлення;</w:t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none"/>
        </w:rPr>
        <w:tab/>
        <w:t>- 45 розподільчих щитів;</w:t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  <w:u w:val="none"/>
        </w:rPr>
        <w:tab/>
        <w:t>-  інше обладнання та складові системи.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ab/>
        <w:t xml:space="preserve">Послуга з технічного обслуговування систем освітлення вулиць і громадських місць міста (у парках, скверах, на вулицях, провулках, в’їздах, проїздах та інших місцях, де розміщені світлоточки) надається </w:t>
      </w:r>
      <w:r>
        <w:rPr>
          <w:rFonts w:eastAsia="Times New Roman"/>
          <w:sz w:val="23"/>
          <w:szCs w:val="23"/>
          <w:u w:val="none"/>
          <w:lang w:eastAsia="ar-SA"/>
        </w:rPr>
        <w:t>на території міста Прилуки. Технічне обслуговування та ремонт об’єктів зовнішнього освітлення, а також матеріали, що використовуються при наданні послуг, мають відповідати вимогам державних стандартів, технічних умов та норм, також повинні передбачати необхідність застосування заходів із захисту довкілля.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  <w:u w:val="none"/>
          <w:lang w:eastAsia="ar-SA"/>
        </w:rPr>
        <w:tab/>
        <w:t>Виконавець забезпечує надання послуг відповідно до наказу Державного комітету України з питань житлово-комунального господарства №154 від 23.09.2003 “Про затвердження Порядку проведення ремонту та утримання об’єктів благоустрою населених пунктів”,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  <w:u w:val="none"/>
          <w:lang w:eastAsia="ar-SA"/>
        </w:rPr>
        <w:tab/>
      </w:r>
      <w:r>
        <w:rPr>
          <w:rFonts w:eastAsia="Times New Roman"/>
          <w:b/>
          <w:bCs/>
          <w:sz w:val="23"/>
          <w:szCs w:val="23"/>
          <w:u w:val="none"/>
          <w:lang w:eastAsia="ar-SA"/>
        </w:rPr>
        <w:t>Послуги з технічного обслуговування та ремонту систем освітлення вулиць і громадських місць зокрема передбачають: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  <w:u w:val="none"/>
          <w:lang w:eastAsia="ar-SA"/>
        </w:rPr>
        <w:tab/>
        <w:t>-періодичні огляди повітряних ліній електромереж, поточний ремонт, технічне обслуговування та нагляд за справністю електромереж, устаткування та споруд,  утримання систем зовнішнього освітлення тощо;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  <w:u w:val="none"/>
          <w:lang w:eastAsia="ar-SA"/>
        </w:rPr>
        <w:tab/>
        <w:t>-</w:t>
      </w:r>
      <w:r>
        <w:rPr>
          <w:rFonts w:eastAsia="Times New Roman"/>
          <w:strike w:val="false"/>
          <w:dstrike w:val="false"/>
          <w:sz w:val="23"/>
          <w:szCs w:val="23"/>
          <w:u w:val="none"/>
          <w:lang w:eastAsia="ar-SA"/>
        </w:rPr>
        <w:t xml:space="preserve">світильники (огляд та обслуговування світильників, встановлення та заміна світильників, заміна пускорегулюючих апаратів та імпульсно-запалюючих пристроїв, заміна електроламп тощо. </w:t>
      </w:r>
      <w:r>
        <w:rPr>
          <w:rFonts w:eastAsia="Times New Roman"/>
          <w:b/>
          <w:bCs/>
          <w:strike w:val="false"/>
          <w:dstrike w:val="false"/>
          <w:sz w:val="23"/>
          <w:szCs w:val="23"/>
          <w:u w:val="none"/>
          <w:lang w:eastAsia="ar-SA"/>
        </w:rPr>
        <w:t>Заміна існуючих ламп здійснюється виключно на енергозберігаючі світлодіодні лампи);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/>
          <w:bCs/>
          <w:strike w:val="false"/>
          <w:dstrike w:val="false"/>
          <w:sz w:val="23"/>
          <w:szCs w:val="23"/>
          <w:u w:val="none"/>
          <w:lang w:eastAsia="ar-SA"/>
        </w:rPr>
        <w:tab/>
      </w: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>-ліквідація аварійних ситуацій у мережах зовнішнього освітлення (усунення коротких замикань, побічної напруги в лінії, напруги на відключеній фазі, пошук причин пошкодження освітлення та їх усунення, ліквідація обриву проводів, обрізання обірваних проводів, визнання характеру пошкоджень у мережах зовнішнього освітлення, заміри по фазного навантаження у лінії тощо);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ab/>
        <w:t>-повітряні лінії (монтаж та демонтаж траверс, заміна ізоляторів, дефектних ділянок проводу, демонтаж та підвішування головного проводу, самоутримуючого ізольованого проводу тощо);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ab/>
        <w:t>-заміна дроселів та відбивачів тощо;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ab/>
        <w:t>-кабельні лінії (огляд кабельних ліній, перевірка опору ізоляції кабелів, ревізія кабельних коробок, заміна та монтаж кабелів тощо);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ab/>
        <w:t>-роботи по заміні та відновленню збитих опор внаслідок дорожньо-транспортних пригод, а також пов’язані з ними ліквідації пошкоджень, електромереж, освітлювальної арматури та іншого устаткування тощо);</w:t>
      </w:r>
    </w:p>
    <w:p>
      <w:pPr>
        <w:pStyle w:val="Normal"/>
        <w:ind w:left="15" w:right="0" w:hanging="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ab/>
        <w:t>-обслуговування та ремонт розподільчих щитів.</w:t>
      </w:r>
    </w:p>
    <w:p>
      <w:pPr>
        <w:pStyle w:val="Normal"/>
        <w:tabs>
          <w:tab w:val="clear" w:pos="709"/>
          <w:tab w:val="left" w:pos="690" w:leader="none"/>
        </w:tabs>
        <w:jc w:val="both"/>
        <w:rPr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ab/>
        <w:t>Т</w:t>
      </w:r>
      <w:r>
        <w:rPr>
          <w:rFonts w:eastAsia="Times New Roman"/>
          <w:b/>
          <w:bCs/>
          <w:sz w:val="23"/>
          <w:szCs w:val="23"/>
          <w:u w:val="single"/>
        </w:rPr>
        <w:t>ехнічне обслуговування світлофорів:</w:t>
      </w:r>
    </w:p>
    <w:p>
      <w:pPr>
        <w:pStyle w:val="Normal"/>
        <w:tabs>
          <w:tab w:val="clear" w:pos="709"/>
          <w:tab w:val="left" w:pos="705" w:leader="none"/>
        </w:tabs>
        <w:spacing w:lineRule="exact" w:line="227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ab/>
        <w:t>Обслуговування та ремонт 13 світлофорних об’єктів протягом 202</w:t>
      </w:r>
      <w:r>
        <w:rPr>
          <w:rFonts w:eastAsia="Times New Roman"/>
          <w:b w:val="false"/>
          <w:bCs w:val="false"/>
          <w:sz w:val="23"/>
          <w:szCs w:val="23"/>
          <w:lang w:eastAsia="ar-SA"/>
        </w:rPr>
        <w:t>3</w:t>
      </w:r>
      <w:r>
        <w:rPr>
          <w:rFonts w:eastAsia="Times New Roman"/>
          <w:b w:val="false"/>
          <w:bCs w:val="false"/>
          <w:sz w:val="23"/>
          <w:szCs w:val="23"/>
        </w:rPr>
        <w:t xml:space="preserve"> року (кількість світлофорних об’єктів протягом року може збільшуватися в разі встановлення нових).</w:t>
      </w:r>
    </w:p>
    <w:p>
      <w:pPr>
        <w:pStyle w:val="Normal"/>
        <w:tabs>
          <w:tab w:val="clear" w:pos="709"/>
          <w:tab w:val="left" w:pos="705" w:leader="none"/>
        </w:tabs>
        <w:spacing w:lineRule="exact" w:line="227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ab/>
        <w:t xml:space="preserve">Крім того, послуга передбачає обладнання </w:t>
      </w:r>
      <w:r>
        <w:rPr>
          <w:rFonts w:eastAsia="Times New Roman"/>
          <w:b w:val="false"/>
          <w:bCs w:val="false"/>
          <w:sz w:val="23"/>
          <w:szCs w:val="23"/>
          <w:lang w:eastAsia="ar-SA"/>
        </w:rPr>
        <w:t>7</w:t>
      </w:r>
      <w:r>
        <w:rPr>
          <w:rFonts w:eastAsia="Times New Roman"/>
          <w:b w:val="false"/>
          <w:bCs w:val="false"/>
          <w:sz w:val="23"/>
          <w:szCs w:val="23"/>
        </w:rPr>
        <w:t xml:space="preserve"> світлофорних об’єктів резервними джерелами живлення.</w:t>
      </w:r>
    </w:p>
    <w:p>
      <w:pPr>
        <w:pStyle w:val="Normal"/>
        <w:spacing w:lineRule="atLeast" w:line="10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ab/>
        <w:t xml:space="preserve"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 </w:t>
      </w:r>
    </w:p>
    <w:p>
      <w:pPr>
        <w:pStyle w:val="Normal"/>
        <w:spacing w:lineRule="atLeast" w:line="10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ab/>
        <w:t>Обслуговування світлофорних об’єктів передбачає заміну в них ламп на енергозберігаючі електродіодні лампи, ремонт усіх складових світлофорних об’єктів (у т.ч. контролерів тощо).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>До загальної вартості тендерної пропозиції включається в тому числі вартість предметів, виробів та матеріалів, що підлягають встановленню чи заміні під час виконання робіт, транспортування, страхування, сплату податків і зборів (обов’язкових платежів), а також інші витрати, які передбачаються при наданні послуг.</w:t>
      </w:r>
    </w:p>
    <w:p>
      <w:pPr>
        <w:pStyle w:val="Normal"/>
        <w:tabs>
          <w:tab w:val="clear" w:pos="709"/>
          <w:tab w:val="left" w:pos="690" w:leader="none"/>
        </w:tabs>
        <w:ind w:left="-15" w:right="0" w:firstLine="735"/>
        <w:jc w:val="both"/>
        <w:rPr/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 xml:space="preserve">До тендерної пропозиції Учасник включає витрати на оплату щомісячного </w:t>
      </w:r>
      <w:r>
        <w:rPr>
          <w:rStyle w:val="Style16"/>
          <w:rFonts w:eastAsia="Times New Roman"/>
          <w:b w:val="false"/>
          <w:bCs w:val="false"/>
          <w:i w:val="false"/>
          <w:iCs w:val="false"/>
          <w:strike w:val="false"/>
          <w:dstrike w:val="false"/>
          <w:sz w:val="23"/>
          <w:szCs w:val="23"/>
          <w:u w:val="none"/>
          <w:lang w:eastAsia="ar-SA"/>
        </w:rPr>
        <w:t>обслуговування системи управління зовнішнім освітленням міста Прилуки, яке здійснює ТОВ “Науково-виробничий  центр “Одіс-</w:t>
      </w:r>
      <w:r>
        <w:rPr>
          <w:rStyle w:val="Style16"/>
          <w:rFonts w:eastAsia="Times New Roman"/>
          <w:b w:val="false"/>
          <w:bCs w:val="false"/>
          <w:i w:val="false"/>
          <w:iCs w:val="false"/>
          <w:strike w:val="false"/>
          <w:dstrike w:val="false"/>
          <w:sz w:val="23"/>
          <w:szCs w:val="23"/>
          <w:u w:val="none"/>
          <w:lang w:val="en-US" w:eastAsia="ar-SA"/>
        </w:rPr>
        <w:t>W”.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trike w:val="false"/>
          <w:dstrike w:val="false"/>
          <w:sz w:val="23"/>
          <w:szCs w:val="23"/>
          <w:u w:val="none"/>
          <w:lang w:eastAsia="ar-SA"/>
        </w:rPr>
        <w:t xml:space="preserve">Для проведення вищезазначених робіт Учасник повинен мати необхідну матеріально-технічну базу на території міста. Для надання послуг на висоті обов’язково повинні бути автовишки телескопічні (не менше двох) з висотою підйому не менше 17 м з відповідним діючим висновком експертного обстеження про її справність. 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Роботи по експлуатації, обслуговуванню та ремонту мереж виконуються впродовж року спеціалізованою бригадою електриків ІІІ, IV розрядів  з правом працювати на мережах до 1 кВт  і, які повинні мати допуск до робіт з підвищеною небезпекою. </w:t>
      </w:r>
    </w:p>
    <w:p>
      <w:pPr>
        <w:pStyle w:val="Normal"/>
        <w:tabs>
          <w:tab w:val="clear" w:pos="709"/>
          <w:tab w:val="left" w:pos="705" w:leader="none"/>
        </w:tabs>
        <w:spacing w:lineRule="exact" w:line="227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>Виконавець повинен забезпечити можливість термінового аварійного відключення мереж зовнішнього освітлення.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Виконавець повинен проводити постійний моніторинг стану об’єктів зовнішнього освітлення, але не рідше 2 разів на тиждень (світлоточки, що вийшли з ладу, пошкодження електромереж, освітлювальної арматури та устаткування, пошкодження (руйнування) опор, підвісок, кронштейнів, тощо) інформувати Замовника та вжити необхідні заходи із забезпечення безпеки, а також виконувати роботи по заявці замовника.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>Виконавець має постійно підтримувати рівень роботи світлоточок не менше 95% від загальної кількості.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>Усунення пошкоджень в роботі мереж зовнішнього освітлення та на світлофорних об’єктах повинно проводитись до закінчення наступного світлового дня.</w:t>
      </w:r>
    </w:p>
    <w:p>
      <w:pPr>
        <w:pStyle w:val="Normal"/>
        <w:ind w:left="-15" w:right="0" w:firstLine="735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>Якість послуг повинна відповідати діючим нормативно-правовим актам України, вимогам діючого законодавства та нормам ДБН.</w:t>
      </w:r>
    </w:p>
    <w:p>
      <w:pPr>
        <w:pStyle w:val="Normal"/>
        <w:tabs>
          <w:tab w:val="clear" w:pos="709"/>
          <w:tab w:val="left" w:pos="690" w:leader="none"/>
        </w:tabs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ab/>
        <w:t>Виконавець має приступити до виконання робіт протягом 45 хвилин з часу виникнення ситуації та забезпечити своєчасне проведення комплексу послуг, у тому числі у вихідні, передсвяткові та святкові дні.</w:t>
      </w:r>
    </w:p>
    <w:p>
      <w:pPr>
        <w:pStyle w:val="Normal"/>
        <w:tabs>
          <w:tab w:val="clear" w:pos="709"/>
          <w:tab w:val="left" w:pos="690" w:leader="none"/>
        </w:tabs>
        <w:spacing w:lineRule="atLeast" w:line="100"/>
        <w:ind w:left="0" w:right="0" w:firstLine="690"/>
        <w:jc w:val="both"/>
        <w:rPr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tabs>
          <w:tab w:val="clear" w:pos="709"/>
          <w:tab w:val="left" w:pos="1956" w:leader="none"/>
        </w:tabs>
        <w:spacing w:lineRule="auto" w:line="240" w:before="0" w:after="0"/>
        <w:ind w:left="0" w:right="0" w:firstLine="690"/>
        <w:jc w:val="both"/>
        <w:rPr>
          <w:sz w:val="23"/>
          <w:szCs w:val="23"/>
        </w:rPr>
      </w:pPr>
      <w:r>
        <w:rPr>
          <w:rFonts w:eastAsia="Times New Roman"/>
          <w:b w:val="false"/>
          <w:bCs w:val="false"/>
          <w:sz w:val="23"/>
          <w:szCs w:val="23"/>
        </w:rPr>
        <w:t>Послуги повинні надаватись: з моменту підписання договору і до 31 грудня 202</w:t>
      </w:r>
      <w:r>
        <w:rPr>
          <w:rFonts w:eastAsia="Times New Roman"/>
          <w:b w:val="false"/>
          <w:bCs w:val="false"/>
          <w:sz w:val="23"/>
          <w:szCs w:val="23"/>
          <w:lang w:eastAsia="ar-SA"/>
        </w:rPr>
        <w:t>4</w:t>
      </w:r>
      <w:r>
        <w:rPr>
          <w:rFonts w:eastAsia="Times New Roman"/>
          <w:b w:val="false"/>
          <w:bCs w:val="false"/>
          <w:sz w:val="23"/>
          <w:szCs w:val="23"/>
        </w:rPr>
        <w:t xml:space="preserve"> року.</w:t>
      </w:r>
    </w:p>
    <w:p>
      <w:pPr>
        <w:pStyle w:val="12"/>
        <w:spacing w:lineRule="atLeast" w:line="100"/>
        <w:ind w:left="0" w:right="0" w:firstLine="426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spacing w:lineRule="atLeast" w:line="100"/>
        <w:ind w:left="0" w:righ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Вартість пропозиції та всі інші ціни повинні бути чітко визначені. </w:t>
      </w:r>
    </w:p>
    <w:p>
      <w:pPr>
        <w:pStyle w:val="12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/>
          <w:b w:val="false"/>
          <w:bCs w:val="false"/>
          <w:iCs/>
          <w:color w:val="000000"/>
          <w:sz w:val="23"/>
          <w:szCs w:val="23"/>
          <w:shd w:fill="FFFFFF" w:val="clear"/>
          <w:lang w:val="uk-UA" w:eastAsia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spacing w:lineRule="auto" w:line="240"/>
        <w:ind w:left="34" w:right="113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>Ціна тендерної пропозиції вказується з ПДВ (стосується Учасників, які є платниками ПДВ) та підтверджується відповідним</w:t>
      </w:r>
      <w:r>
        <w:rPr>
          <w:sz w:val="23"/>
          <w:szCs w:val="23"/>
          <w:lang w:val="en-US"/>
        </w:rPr>
        <w:t xml:space="preserve">и </w:t>
      </w:r>
      <w:r>
        <w:rPr>
          <w:sz w:val="23"/>
          <w:szCs w:val="23"/>
        </w:rPr>
        <w:t>розрахунками.</w:t>
      </w:r>
    </w:p>
    <w:p>
      <w:pPr>
        <w:pStyle w:val="Normal"/>
        <w:jc w:val="both"/>
        <w:rPr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b w:val="false"/>
          <w:bCs w:val="false"/>
          <w:color w:val="000000"/>
          <w:sz w:val="23"/>
          <w:szCs w:val="23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b w:val="false"/>
          <w:bCs w:val="false"/>
          <w:color w:val="000000"/>
          <w:sz w:val="23"/>
          <w:szCs w:val="23"/>
          <w:lang w:eastAsia="en-US"/>
        </w:rPr>
        <w:t xml:space="preserve"> </w:t>
      </w:r>
      <w:r>
        <w:rPr>
          <w:b w:val="false"/>
          <w:bCs w:val="false"/>
          <w:color w:val="000000"/>
          <w:sz w:val="23"/>
          <w:szCs w:val="23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zh-CN" w:bidi="ar-SA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1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2</Pages>
  <Words>967</Words>
  <Characters>6902</Characters>
  <CharactersWithSpaces>7870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2023-12-14T15:35:12Z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